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9E6" w:rsidRDefault="007E0485" w:rsidP="008E59E6">
      <w:pPr>
        <w:jc w:val="center"/>
        <w:rPr>
          <w:rFonts w:ascii="Arial" w:hAnsi="Arial" w:cs="Arial"/>
          <w:b/>
          <w:sz w:val="36"/>
          <w:szCs w:val="36"/>
        </w:rPr>
      </w:pPr>
      <w:r w:rsidRPr="00523E5C">
        <w:rPr>
          <w:rFonts w:asciiTheme="minorHAnsi" w:hAnsiTheme="minorHAnsi" w:cstheme="minorHAnsi"/>
        </w:rPr>
        <w:t xml:space="preserve">             </w:t>
      </w:r>
      <w:r w:rsidRPr="00523E5C">
        <w:rPr>
          <w:rFonts w:asciiTheme="minorHAnsi" w:hAnsiTheme="minorHAnsi" w:cstheme="minorHAnsi"/>
          <w:sz w:val="28"/>
          <w:szCs w:val="28"/>
        </w:rPr>
        <w:t xml:space="preserve">       </w:t>
      </w:r>
      <w:r w:rsidR="008E59E6">
        <w:rPr>
          <w:rFonts w:ascii="Arial" w:hAnsi="Arial" w:cs="Arial"/>
          <w:b/>
          <w:sz w:val="36"/>
          <w:szCs w:val="36"/>
        </w:rPr>
        <w:t>Istituto D’Istruzione Secondaria Superiore</w:t>
      </w:r>
    </w:p>
    <w:p w:rsidR="008E59E6" w:rsidRDefault="008E59E6" w:rsidP="008E59E6">
      <w:pPr>
        <w:jc w:val="center"/>
        <w:rPr>
          <w:rFonts w:ascii="Arial" w:hAnsi="Arial" w:cs="Arial"/>
          <w:b/>
          <w:sz w:val="36"/>
          <w:szCs w:val="36"/>
        </w:rPr>
      </w:pPr>
      <w:r w:rsidRPr="006C44C3">
        <w:rPr>
          <w:rFonts w:ascii="Arial" w:hAnsi="Arial" w:cs="Arial"/>
          <w:b/>
          <w:sz w:val="36"/>
          <w:szCs w:val="36"/>
        </w:rPr>
        <w:t xml:space="preserve"> “</w:t>
      </w:r>
      <w:r>
        <w:rPr>
          <w:rFonts w:ascii="Arial" w:hAnsi="Arial" w:cs="Arial"/>
          <w:b/>
          <w:sz w:val="36"/>
          <w:szCs w:val="36"/>
        </w:rPr>
        <w:t>Giovanni Caboto ”</w:t>
      </w:r>
    </w:p>
    <w:p w:rsidR="008E59E6" w:rsidRPr="004F3B86" w:rsidRDefault="008E59E6" w:rsidP="008E59E6">
      <w:pPr>
        <w:jc w:val="center"/>
        <w:rPr>
          <w:rFonts w:ascii="Arial" w:hAnsi="Arial" w:cs="Arial"/>
          <w:b/>
          <w:sz w:val="28"/>
          <w:szCs w:val="28"/>
        </w:rPr>
      </w:pPr>
      <w:r w:rsidRPr="004F3B86">
        <w:rPr>
          <w:rFonts w:ascii="Arial" w:hAnsi="Arial" w:cs="Arial"/>
          <w:b/>
          <w:sz w:val="28"/>
          <w:szCs w:val="28"/>
        </w:rPr>
        <w:t>Gaeta LT</w:t>
      </w:r>
    </w:p>
    <w:p w:rsidR="008E59E6" w:rsidRPr="000D2BD0" w:rsidRDefault="008E59E6" w:rsidP="008E59E6">
      <w:pPr>
        <w:jc w:val="center"/>
        <w:rPr>
          <w:rFonts w:ascii="Arial" w:hAnsi="Arial" w:cs="Arial"/>
          <w:b/>
          <w:sz w:val="28"/>
          <w:szCs w:val="28"/>
        </w:rPr>
      </w:pPr>
      <w:r w:rsidRPr="000D2BD0">
        <w:rPr>
          <w:rFonts w:ascii="Arial" w:hAnsi="Arial" w:cs="Arial"/>
          <w:b/>
          <w:sz w:val="28"/>
          <w:szCs w:val="28"/>
        </w:rPr>
        <w:t>SEZIONE COMMERCIALE</w:t>
      </w:r>
    </w:p>
    <w:p w:rsidR="008E59E6" w:rsidRPr="006C44C3" w:rsidRDefault="008E59E6" w:rsidP="008E59E6">
      <w:pPr>
        <w:jc w:val="center"/>
        <w:rPr>
          <w:rFonts w:ascii="Arial" w:hAnsi="Arial" w:cs="Arial"/>
          <w:b/>
          <w:sz w:val="32"/>
          <w:szCs w:val="32"/>
        </w:rPr>
      </w:pPr>
    </w:p>
    <w:p w:rsidR="008E59E6" w:rsidRPr="004F4B54" w:rsidRDefault="008E59E6" w:rsidP="008E59E6">
      <w:pPr>
        <w:pStyle w:val="OmniPage1"/>
        <w:tabs>
          <w:tab w:val="center" w:pos="4920"/>
          <w:tab w:val="left" w:pos="6450"/>
          <w:tab w:val="right" w:pos="9356"/>
        </w:tabs>
        <w:ind w:right="-8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:rsidR="008E59E6" w:rsidRDefault="008E59E6" w:rsidP="008E59E6">
      <w:pPr>
        <w:pStyle w:val="OmniPage1"/>
        <w:tabs>
          <w:tab w:val="center" w:pos="4920"/>
          <w:tab w:val="left" w:pos="6450"/>
          <w:tab w:val="right" w:pos="9356"/>
        </w:tabs>
        <w:ind w:right="-8"/>
        <w:jc w:val="center"/>
        <w:rPr>
          <w:rFonts w:ascii="Arial" w:hAnsi="Arial" w:cs="Arial"/>
          <w:bCs/>
          <w:sz w:val="28"/>
          <w:szCs w:val="28"/>
          <w:lang w:val="it-IT"/>
        </w:rPr>
      </w:pPr>
      <w:r w:rsidRPr="004F4B54">
        <w:rPr>
          <w:rFonts w:ascii="Arial" w:hAnsi="Arial" w:cs="Arial"/>
          <w:bCs/>
          <w:sz w:val="28"/>
          <w:szCs w:val="28"/>
          <w:lang w:val="it-IT"/>
        </w:rPr>
        <w:t>Programma</w:t>
      </w:r>
      <w:r>
        <w:rPr>
          <w:rFonts w:ascii="Arial" w:hAnsi="Arial" w:cs="Arial"/>
          <w:bCs/>
          <w:sz w:val="28"/>
          <w:szCs w:val="28"/>
          <w:lang w:val="it-IT"/>
        </w:rPr>
        <w:t xml:space="preserve"> Svolto</w:t>
      </w:r>
    </w:p>
    <w:p w:rsidR="008E59E6" w:rsidRDefault="008E59E6" w:rsidP="008E59E6">
      <w:pPr>
        <w:pStyle w:val="OmniPage1"/>
        <w:tabs>
          <w:tab w:val="center" w:pos="4920"/>
          <w:tab w:val="left" w:pos="6450"/>
          <w:tab w:val="right" w:pos="9356"/>
        </w:tabs>
        <w:ind w:right="-8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proofErr w:type="spellStart"/>
      <w:r>
        <w:rPr>
          <w:rFonts w:ascii="Arial" w:hAnsi="Arial" w:cs="Arial"/>
          <w:b/>
          <w:bCs/>
          <w:sz w:val="22"/>
          <w:szCs w:val="22"/>
          <w:lang w:val="it-IT"/>
        </w:rPr>
        <w:t>a.s.</w:t>
      </w:r>
      <w:proofErr w:type="spellEnd"/>
      <w:r>
        <w:rPr>
          <w:rFonts w:ascii="Arial" w:hAnsi="Arial" w:cs="Arial"/>
          <w:b/>
          <w:bCs/>
          <w:sz w:val="22"/>
          <w:szCs w:val="22"/>
          <w:lang w:val="it-IT"/>
        </w:rPr>
        <w:t xml:space="preserve"> 201</w:t>
      </w:r>
      <w:r w:rsidR="00B90ADB">
        <w:rPr>
          <w:rFonts w:ascii="Arial" w:hAnsi="Arial" w:cs="Arial"/>
          <w:b/>
          <w:bCs/>
          <w:sz w:val="22"/>
          <w:szCs w:val="22"/>
          <w:lang w:val="it-IT"/>
        </w:rPr>
        <w:t>3</w:t>
      </w:r>
      <w:r>
        <w:rPr>
          <w:rFonts w:ascii="Arial" w:hAnsi="Arial" w:cs="Arial"/>
          <w:b/>
          <w:bCs/>
          <w:sz w:val="22"/>
          <w:szCs w:val="22"/>
          <w:lang w:val="it-IT"/>
        </w:rPr>
        <w:t>/201</w:t>
      </w:r>
      <w:r w:rsidR="00B90ADB">
        <w:rPr>
          <w:rFonts w:ascii="Arial" w:hAnsi="Arial" w:cs="Arial"/>
          <w:b/>
          <w:bCs/>
          <w:sz w:val="22"/>
          <w:szCs w:val="22"/>
          <w:lang w:val="it-IT"/>
        </w:rPr>
        <w:t>4</w:t>
      </w:r>
    </w:p>
    <w:p w:rsidR="008E59E6" w:rsidRPr="004F4B54" w:rsidRDefault="008E59E6" w:rsidP="008E59E6">
      <w:pPr>
        <w:pStyle w:val="OmniPage1"/>
        <w:tabs>
          <w:tab w:val="center" w:pos="4920"/>
          <w:tab w:val="left" w:pos="6450"/>
          <w:tab w:val="right" w:pos="9356"/>
        </w:tabs>
        <w:ind w:right="-8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8E59E6" w:rsidRPr="00825302" w:rsidRDefault="00B90ADB" w:rsidP="008E59E6">
      <w:pPr>
        <w:pStyle w:val="OmniPage1"/>
        <w:tabs>
          <w:tab w:val="center" w:pos="4920"/>
          <w:tab w:val="left" w:pos="6450"/>
          <w:tab w:val="right" w:pos="8845"/>
        </w:tabs>
        <w:ind w:right="1065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 xml:space="preserve">                Classe  4</w:t>
      </w:r>
      <w:r w:rsidR="008E59E6">
        <w:rPr>
          <w:rFonts w:ascii="Arial" w:hAnsi="Arial" w:cs="Arial"/>
          <w:b/>
          <w:bCs/>
          <w:sz w:val="22"/>
          <w:szCs w:val="22"/>
          <w:lang w:val="it-IT"/>
        </w:rPr>
        <w:t>a  Sez.  I</w:t>
      </w:r>
    </w:p>
    <w:p w:rsidR="008E59E6" w:rsidRDefault="008E59E6" w:rsidP="008E59E6">
      <w:pPr>
        <w:pStyle w:val="OmniPage1"/>
        <w:tabs>
          <w:tab w:val="center" w:pos="4920"/>
          <w:tab w:val="left" w:pos="6450"/>
          <w:tab w:val="right" w:pos="8845"/>
        </w:tabs>
        <w:ind w:right="1065"/>
        <w:rPr>
          <w:b/>
          <w:bCs/>
          <w:sz w:val="24"/>
          <w:szCs w:val="24"/>
          <w:lang w:val="it-IT"/>
        </w:rPr>
      </w:pPr>
    </w:p>
    <w:p w:rsidR="008E59E6" w:rsidRDefault="008E59E6" w:rsidP="008E59E6">
      <w:pPr>
        <w:pStyle w:val="OmniPage1"/>
        <w:tabs>
          <w:tab w:val="center" w:pos="4920"/>
          <w:tab w:val="left" w:pos="6450"/>
          <w:tab w:val="right" w:pos="8845"/>
        </w:tabs>
        <w:ind w:right="1065"/>
        <w:rPr>
          <w:b/>
          <w:bCs/>
          <w:sz w:val="24"/>
          <w:szCs w:val="24"/>
          <w:lang w:val="it-IT"/>
        </w:rPr>
      </w:pPr>
    </w:p>
    <w:p w:rsidR="008E59E6" w:rsidRDefault="008E59E6" w:rsidP="008E59E6">
      <w:pPr>
        <w:pStyle w:val="OmniPage1"/>
        <w:tabs>
          <w:tab w:val="center" w:pos="4920"/>
          <w:tab w:val="left" w:pos="6450"/>
          <w:tab w:val="right" w:pos="9356"/>
        </w:tabs>
        <w:ind w:right="-8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</w:p>
    <w:p w:rsidR="008E59E6" w:rsidRPr="00825302" w:rsidRDefault="008E59E6" w:rsidP="008E59E6">
      <w:pPr>
        <w:pStyle w:val="OmniPage1"/>
        <w:tabs>
          <w:tab w:val="center" w:pos="4920"/>
          <w:tab w:val="left" w:pos="6450"/>
          <w:tab w:val="right" w:pos="9356"/>
        </w:tabs>
        <w:ind w:right="-8"/>
        <w:rPr>
          <w:rFonts w:ascii="Arial" w:hAnsi="Arial" w:cs="Arial"/>
          <w:b/>
          <w:bCs/>
          <w:sz w:val="22"/>
          <w:szCs w:val="22"/>
          <w:lang w:val="it-IT"/>
        </w:rPr>
      </w:pPr>
      <w:r w:rsidRPr="00825302">
        <w:rPr>
          <w:rFonts w:ascii="Arial" w:hAnsi="Arial" w:cs="Arial"/>
          <w:b/>
          <w:bCs/>
          <w:sz w:val="22"/>
          <w:szCs w:val="22"/>
          <w:lang w:val="it-IT"/>
        </w:rPr>
        <w:t xml:space="preserve">Disciplina: Economia </w:t>
      </w:r>
      <w:r w:rsidR="00E0517A">
        <w:rPr>
          <w:rFonts w:ascii="Arial" w:hAnsi="Arial" w:cs="Arial"/>
          <w:b/>
          <w:bCs/>
          <w:sz w:val="22"/>
          <w:szCs w:val="22"/>
          <w:lang w:val="it-IT"/>
        </w:rPr>
        <w:t>Aziendale</w:t>
      </w:r>
      <w:r w:rsidRPr="00825302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Pr="00825302">
        <w:rPr>
          <w:rFonts w:ascii="Arial" w:hAnsi="Arial" w:cs="Arial"/>
          <w:b/>
          <w:bCs/>
          <w:sz w:val="22"/>
          <w:szCs w:val="22"/>
          <w:lang w:val="it-IT"/>
        </w:rPr>
        <w:t>Prof.</w:t>
      </w:r>
      <w:r w:rsidRPr="00825302">
        <w:rPr>
          <w:rFonts w:ascii="Arial" w:hAnsi="Arial" w:cs="Arial"/>
          <w:b/>
          <w:bCs/>
          <w:sz w:val="22"/>
          <w:szCs w:val="22"/>
          <w:vertAlign w:val="superscript"/>
          <w:lang w:val="it-IT"/>
        </w:rPr>
        <w:t>ssa</w:t>
      </w:r>
      <w:r w:rsidRPr="00825302">
        <w:rPr>
          <w:rFonts w:ascii="Arial" w:hAnsi="Arial" w:cs="Arial"/>
          <w:b/>
          <w:bCs/>
          <w:sz w:val="22"/>
          <w:szCs w:val="22"/>
          <w:lang w:val="it-IT"/>
        </w:rPr>
        <w:t xml:space="preserve"> Macera Matilde</w:t>
      </w:r>
    </w:p>
    <w:p w:rsidR="008E59E6" w:rsidRDefault="008E59E6" w:rsidP="008E59E6">
      <w:pPr>
        <w:pStyle w:val="OmniPage1"/>
        <w:tabs>
          <w:tab w:val="center" w:pos="4920"/>
          <w:tab w:val="left" w:pos="6450"/>
          <w:tab w:val="right" w:pos="8845"/>
        </w:tabs>
        <w:ind w:right="1065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</w:p>
    <w:p w:rsidR="007E0485" w:rsidRDefault="007E0485" w:rsidP="008E59E6">
      <w:pPr>
        <w:rPr>
          <w:rFonts w:asciiTheme="minorHAnsi" w:hAnsiTheme="minorHAnsi" w:cstheme="minorHAnsi"/>
          <w:sz w:val="28"/>
          <w:szCs w:val="28"/>
        </w:rPr>
      </w:pPr>
    </w:p>
    <w:p w:rsidR="008E59E6" w:rsidRPr="00523E5C" w:rsidRDefault="008E59E6" w:rsidP="008E59E6">
      <w:pPr>
        <w:rPr>
          <w:rFonts w:asciiTheme="minorHAnsi" w:hAnsiTheme="minorHAnsi" w:cstheme="minorHAnsi"/>
          <w:sz w:val="28"/>
          <w:szCs w:val="28"/>
        </w:rPr>
      </w:pPr>
    </w:p>
    <w:p w:rsidR="00D540EA" w:rsidRDefault="007E0485">
      <w:pPr>
        <w:rPr>
          <w:rFonts w:asciiTheme="minorHAnsi" w:hAnsiTheme="minorHAnsi" w:cstheme="minorHAnsi"/>
          <w:b/>
          <w:sz w:val="32"/>
          <w:szCs w:val="32"/>
        </w:rPr>
      </w:pPr>
      <w:r w:rsidRPr="00552EB9">
        <w:rPr>
          <w:rFonts w:asciiTheme="minorHAnsi" w:hAnsiTheme="minorHAnsi" w:cstheme="minorHAnsi"/>
          <w:b/>
          <w:sz w:val="32"/>
          <w:szCs w:val="32"/>
        </w:rPr>
        <w:t>Modulo 1:</w:t>
      </w:r>
      <w:r w:rsidR="00523E5C" w:rsidRPr="00552EB9">
        <w:rPr>
          <w:rFonts w:asciiTheme="minorHAnsi" w:hAnsiTheme="minorHAnsi" w:cstheme="minorHAnsi"/>
          <w:b/>
          <w:sz w:val="32"/>
          <w:szCs w:val="32"/>
        </w:rPr>
        <w:tab/>
      </w:r>
      <w:r w:rsidRPr="00552EB9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2A53A0">
        <w:rPr>
          <w:rFonts w:asciiTheme="minorHAnsi" w:hAnsiTheme="minorHAnsi" w:cstheme="minorHAnsi"/>
          <w:b/>
          <w:sz w:val="32"/>
          <w:szCs w:val="32"/>
        </w:rPr>
        <w:t xml:space="preserve">  </w:t>
      </w:r>
      <w:r w:rsidR="00B90ADB">
        <w:rPr>
          <w:rFonts w:asciiTheme="minorHAnsi" w:hAnsiTheme="minorHAnsi" w:cstheme="minorHAnsi"/>
          <w:b/>
          <w:sz w:val="32"/>
          <w:szCs w:val="32"/>
        </w:rPr>
        <w:t>Completamento programma</w:t>
      </w:r>
      <w:r w:rsidR="0055069F">
        <w:rPr>
          <w:rFonts w:asciiTheme="minorHAnsi" w:hAnsiTheme="minorHAnsi" w:cstheme="minorHAnsi"/>
          <w:b/>
          <w:sz w:val="32"/>
          <w:szCs w:val="32"/>
        </w:rPr>
        <w:t xml:space="preserve"> anno precedente</w:t>
      </w:r>
    </w:p>
    <w:p w:rsidR="00D90691" w:rsidRPr="00523E5C" w:rsidRDefault="008E59E6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UD </w:t>
      </w:r>
      <w:r w:rsidR="00523E5C">
        <w:rPr>
          <w:rFonts w:asciiTheme="minorHAnsi" w:hAnsiTheme="minorHAnsi" w:cstheme="minorHAnsi"/>
          <w:b/>
          <w:sz w:val="28"/>
          <w:szCs w:val="28"/>
        </w:rPr>
        <w:t>1</w:t>
      </w:r>
      <w:r w:rsidR="00523E5C">
        <w:rPr>
          <w:rFonts w:asciiTheme="minorHAnsi" w:hAnsiTheme="minorHAnsi" w:cstheme="minorHAnsi"/>
          <w:b/>
          <w:sz w:val="28"/>
          <w:szCs w:val="28"/>
        </w:rPr>
        <w:tab/>
      </w:r>
      <w:r w:rsidR="00B90ADB">
        <w:rPr>
          <w:rFonts w:asciiTheme="minorHAnsi" w:hAnsiTheme="minorHAnsi" w:cstheme="minorHAnsi"/>
          <w:b/>
          <w:sz w:val="28"/>
          <w:szCs w:val="28"/>
        </w:rPr>
        <w:t>Le scritture di epilogo e di chiusura dei conti</w:t>
      </w:r>
    </w:p>
    <w:p w:rsidR="007E0485" w:rsidRPr="00523E5C" w:rsidRDefault="007E0485">
      <w:pPr>
        <w:rPr>
          <w:rFonts w:asciiTheme="minorHAnsi" w:hAnsiTheme="minorHAnsi" w:cstheme="minorHAnsi"/>
          <w:b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B90ADB">
        <w:rPr>
          <w:rFonts w:asciiTheme="minorHAnsi" w:hAnsiTheme="minorHAnsi" w:cstheme="minorHAnsi"/>
          <w:sz w:val="28"/>
          <w:szCs w:val="28"/>
        </w:rPr>
        <w:t>Le fasi conclusive della contabilità generale</w:t>
      </w:r>
    </w:p>
    <w:p w:rsidR="007E0485" w:rsidRPr="00523E5C" w:rsidRDefault="007E0485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B90ADB">
        <w:rPr>
          <w:rFonts w:asciiTheme="minorHAnsi" w:hAnsiTheme="minorHAnsi" w:cstheme="minorHAnsi"/>
          <w:sz w:val="28"/>
          <w:szCs w:val="28"/>
        </w:rPr>
        <w:t>Le scritture di riepilogo</w:t>
      </w:r>
    </w:p>
    <w:p w:rsidR="007E0485" w:rsidRPr="00523E5C" w:rsidRDefault="007E0485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2A53A0">
        <w:rPr>
          <w:rFonts w:asciiTheme="minorHAnsi" w:hAnsiTheme="minorHAnsi" w:cstheme="minorHAnsi"/>
          <w:sz w:val="28"/>
          <w:szCs w:val="28"/>
        </w:rPr>
        <w:t>Il patrimonio netto finale</w:t>
      </w:r>
    </w:p>
    <w:p w:rsidR="007E0485" w:rsidRPr="00523E5C" w:rsidRDefault="007E0485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2A53A0">
        <w:rPr>
          <w:rFonts w:asciiTheme="minorHAnsi" w:hAnsiTheme="minorHAnsi" w:cstheme="minorHAnsi"/>
          <w:sz w:val="28"/>
          <w:szCs w:val="28"/>
        </w:rPr>
        <w:t>La chiusura generale dei conti</w:t>
      </w:r>
      <w:r w:rsidRPr="00523E5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D540EA" w:rsidRDefault="00D540EA">
      <w:pPr>
        <w:rPr>
          <w:rFonts w:asciiTheme="minorHAnsi" w:hAnsiTheme="minorHAnsi" w:cstheme="minorHAnsi"/>
          <w:b/>
          <w:sz w:val="32"/>
          <w:szCs w:val="32"/>
        </w:rPr>
      </w:pPr>
    </w:p>
    <w:p w:rsidR="00D90691" w:rsidRPr="00523E5C" w:rsidRDefault="008E59E6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UD </w:t>
      </w:r>
      <w:r w:rsidR="00D540EA">
        <w:rPr>
          <w:rFonts w:asciiTheme="minorHAnsi" w:hAnsiTheme="minorHAnsi" w:cstheme="minorHAnsi"/>
          <w:b/>
          <w:sz w:val="28"/>
          <w:szCs w:val="28"/>
        </w:rPr>
        <w:t>2</w:t>
      </w:r>
      <w:r w:rsidR="00523E5C">
        <w:rPr>
          <w:rFonts w:asciiTheme="minorHAnsi" w:hAnsiTheme="minorHAnsi" w:cstheme="minorHAnsi"/>
          <w:b/>
          <w:sz w:val="28"/>
          <w:szCs w:val="28"/>
        </w:rPr>
        <w:tab/>
      </w:r>
      <w:r w:rsidR="002A53A0">
        <w:rPr>
          <w:rFonts w:asciiTheme="minorHAnsi" w:hAnsiTheme="minorHAnsi" w:cstheme="minorHAnsi"/>
          <w:b/>
          <w:sz w:val="28"/>
          <w:szCs w:val="28"/>
        </w:rPr>
        <w:t>Il bilancio di esercizio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2A53A0">
        <w:rPr>
          <w:rFonts w:asciiTheme="minorHAnsi" w:hAnsiTheme="minorHAnsi" w:cstheme="minorHAnsi"/>
          <w:sz w:val="28"/>
          <w:szCs w:val="28"/>
        </w:rPr>
        <w:t>Il bilancio d’esercizio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2A53A0">
        <w:rPr>
          <w:rFonts w:asciiTheme="minorHAnsi" w:hAnsiTheme="minorHAnsi" w:cstheme="minorHAnsi"/>
          <w:sz w:val="28"/>
          <w:szCs w:val="28"/>
        </w:rPr>
        <w:t>Lo stato patrimoniale</w:t>
      </w:r>
      <w:r w:rsidRPr="00523E5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2A53A0">
        <w:rPr>
          <w:rFonts w:asciiTheme="minorHAnsi" w:hAnsiTheme="minorHAnsi" w:cstheme="minorHAnsi"/>
          <w:sz w:val="28"/>
          <w:szCs w:val="28"/>
        </w:rPr>
        <w:t>Il conto economico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2A53A0">
        <w:rPr>
          <w:rFonts w:asciiTheme="minorHAnsi" w:hAnsiTheme="minorHAnsi" w:cstheme="minorHAnsi"/>
          <w:sz w:val="28"/>
          <w:szCs w:val="28"/>
        </w:rPr>
        <w:t>Il prospetto di raccordo</w:t>
      </w:r>
    </w:p>
    <w:p w:rsidR="002A53A0" w:rsidRPr="002A53A0" w:rsidRDefault="002A53A0" w:rsidP="002A53A0">
      <w:pPr>
        <w:pStyle w:val="Paragrafoelenco"/>
        <w:numPr>
          <w:ilvl w:val="1"/>
          <w:numId w:val="8"/>
        </w:numPr>
        <w:ind w:left="284" w:hanging="284"/>
        <w:rPr>
          <w:rFonts w:asciiTheme="minorHAnsi" w:hAnsiTheme="minorHAnsi" w:cstheme="minorHAnsi"/>
          <w:sz w:val="28"/>
          <w:szCs w:val="28"/>
        </w:rPr>
      </w:pPr>
      <w:r w:rsidRPr="002A53A0">
        <w:rPr>
          <w:rFonts w:asciiTheme="minorHAnsi" w:hAnsiTheme="minorHAnsi" w:cstheme="minorHAnsi"/>
          <w:sz w:val="28"/>
          <w:szCs w:val="28"/>
        </w:rPr>
        <w:lastRenderedPageBreak/>
        <w:t>I bilancio a stati comparati e a stati collegati</w:t>
      </w:r>
    </w:p>
    <w:p w:rsidR="002A53A0" w:rsidRDefault="00D540EA" w:rsidP="00D540EA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>
        <w:rPr>
          <w:rFonts w:asciiTheme="minorHAnsi" w:hAnsiTheme="minorHAnsi" w:cstheme="minorHAnsi"/>
          <w:sz w:val="28"/>
          <w:szCs w:val="28"/>
        </w:rPr>
        <w:t xml:space="preserve">  I principali contabili</w:t>
      </w:r>
    </w:p>
    <w:p w:rsidR="00D540EA" w:rsidRDefault="00D540EA" w:rsidP="00D540EA">
      <w:pPr>
        <w:rPr>
          <w:rFonts w:asciiTheme="minorHAnsi" w:hAnsiTheme="minorHAnsi" w:cstheme="minorHAnsi"/>
          <w:b/>
          <w:sz w:val="28"/>
          <w:szCs w:val="28"/>
        </w:rPr>
      </w:pPr>
    </w:p>
    <w:p w:rsidR="00D540EA" w:rsidRDefault="00D540EA" w:rsidP="00D540EA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UD 3   La riapertura dei conti</w:t>
      </w:r>
    </w:p>
    <w:p w:rsidR="00D540EA" w:rsidRDefault="00D540EA" w:rsidP="00D540EA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>
        <w:rPr>
          <w:rFonts w:asciiTheme="minorHAnsi" w:hAnsiTheme="minorHAnsi" w:cstheme="minorHAnsi"/>
          <w:sz w:val="28"/>
          <w:szCs w:val="28"/>
        </w:rPr>
        <w:t xml:space="preserve">  La riapertura dei conti</w:t>
      </w:r>
    </w:p>
    <w:p w:rsidR="00D540EA" w:rsidRDefault="00D540EA" w:rsidP="00D540EA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>
        <w:rPr>
          <w:rFonts w:asciiTheme="minorHAnsi" w:hAnsiTheme="minorHAnsi" w:cstheme="minorHAnsi"/>
          <w:sz w:val="28"/>
          <w:szCs w:val="28"/>
        </w:rPr>
        <w:t xml:space="preserve">  Le esistenze iniziali</w:t>
      </w:r>
    </w:p>
    <w:p w:rsidR="00D540EA" w:rsidRDefault="00D540EA" w:rsidP="00D540EA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>
        <w:rPr>
          <w:rFonts w:asciiTheme="minorHAnsi" w:hAnsiTheme="minorHAnsi" w:cstheme="minorHAnsi"/>
          <w:sz w:val="28"/>
          <w:szCs w:val="28"/>
        </w:rPr>
        <w:t xml:space="preserve">  I risconti iniziali</w:t>
      </w:r>
    </w:p>
    <w:p w:rsidR="00D540EA" w:rsidRDefault="00D540EA" w:rsidP="00D540EA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>
        <w:rPr>
          <w:rFonts w:asciiTheme="minorHAnsi" w:hAnsiTheme="minorHAnsi" w:cstheme="minorHAnsi"/>
          <w:sz w:val="28"/>
          <w:szCs w:val="28"/>
        </w:rPr>
        <w:t xml:space="preserve">  I ratei iniziali</w:t>
      </w:r>
    </w:p>
    <w:p w:rsidR="00D540EA" w:rsidRDefault="00D540EA" w:rsidP="00D540EA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>
        <w:rPr>
          <w:rFonts w:asciiTheme="minorHAnsi" w:hAnsiTheme="minorHAnsi" w:cstheme="minorHAnsi"/>
          <w:sz w:val="28"/>
          <w:szCs w:val="28"/>
        </w:rPr>
        <w:t xml:space="preserve">  L’utilizzo dei fondi rischi e oneri</w:t>
      </w:r>
    </w:p>
    <w:p w:rsidR="00D540EA" w:rsidRDefault="00D540EA" w:rsidP="00D540EA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>
        <w:rPr>
          <w:rFonts w:asciiTheme="minorHAnsi" w:hAnsiTheme="minorHAnsi" w:cstheme="minorHAnsi"/>
          <w:sz w:val="28"/>
          <w:szCs w:val="28"/>
        </w:rPr>
        <w:t xml:space="preserve">  Lo storno dei conti Fatture da ricevere e Fatture da emettere</w:t>
      </w:r>
    </w:p>
    <w:p w:rsidR="00D540EA" w:rsidRDefault="00D540EA" w:rsidP="00D540EA">
      <w:pPr>
        <w:rPr>
          <w:rFonts w:asciiTheme="minorHAnsi" w:hAnsiTheme="minorHAnsi" w:cstheme="minorHAnsi"/>
          <w:b/>
          <w:sz w:val="28"/>
          <w:szCs w:val="28"/>
        </w:rPr>
      </w:pPr>
    </w:p>
    <w:p w:rsidR="00D540EA" w:rsidRPr="00D540EA" w:rsidRDefault="00D540EA" w:rsidP="00D540EA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Modulo 2</w:t>
      </w:r>
      <w:r w:rsidRPr="00552EB9">
        <w:rPr>
          <w:rFonts w:asciiTheme="minorHAnsi" w:hAnsiTheme="minorHAnsi" w:cstheme="minorHAnsi"/>
          <w:b/>
          <w:sz w:val="32"/>
          <w:szCs w:val="32"/>
        </w:rPr>
        <w:t>:</w:t>
      </w:r>
      <w:r w:rsidRPr="00552EB9">
        <w:rPr>
          <w:rFonts w:asciiTheme="minorHAnsi" w:hAnsiTheme="minorHAnsi" w:cstheme="minorHAnsi"/>
          <w:b/>
          <w:sz w:val="32"/>
          <w:szCs w:val="32"/>
        </w:rPr>
        <w:tab/>
        <w:t xml:space="preserve"> </w:t>
      </w:r>
      <w:r>
        <w:rPr>
          <w:rFonts w:asciiTheme="minorHAnsi" w:hAnsiTheme="minorHAnsi" w:cstheme="minorHAnsi"/>
          <w:b/>
          <w:sz w:val="32"/>
          <w:szCs w:val="32"/>
        </w:rPr>
        <w:t xml:space="preserve">  I bilanci aziendali</w:t>
      </w:r>
    </w:p>
    <w:p w:rsidR="00D90691" w:rsidRPr="00523E5C" w:rsidRDefault="008E59E6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UD </w:t>
      </w:r>
      <w:r w:rsidR="00D540EA">
        <w:rPr>
          <w:rFonts w:asciiTheme="minorHAnsi" w:hAnsiTheme="minorHAnsi" w:cstheme="minorHAnsi"/>
          <w:b/>
          <w:sz w:val="28"/>
          <w:szCs w:val="28"/>
        </w:rPr>
        <w:t>1</w:t>
      </w:r>
      <w:r w:rsidR="00523E5C">
        <w:rPr>
          <w:rFonts w:asciiTheme="minorHAnsi" w:hAnsiTheme="minorHAnsi" w:cstheme="minorHAnsi"/>
          <w:b/>
          <w:sz w:val="28"/>
          <w:szCs w:val="28"/>
        </w:rPr>
        <w:tab/>
      </w:r>
      <w:r w:rsidR="00D540EA">
        <w:rPr>
          <w:rFonts w:asciiTheme="minorHAnsi" w:hAnsiTheme="minorHAnsi" w:cstheme="minorHAnsi"/>
          <w:b/>
          <w:sz w:val="28"/>
          <w:szCs w:val="28"/>
        </w:rPr>
        <w:t>Le società di persone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Le caratteristiche delle società di persone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I conferimenti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I costi di impianto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La destinazione dell’utile d’esercizio</w:t>
      </w:r>
    </w:p>
    <w:p w:rsidR="00D90691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Il pagamento degli utili</w:t>
      </w:r>
    </w:p>
    <w:p w:rsidR="00523E5C" w:rsidRPr="00523E5C" w:rsidRDefault="00523E5C" w:rsidP="00523E5C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La rivelazione e la copertura della perdita d’esercizio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I finanziamenti</w:t>
      </w:r>
    </w:p>
    <w:p w:rsidR="00D90691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Gli aumenti di capitale sociale</w:t>
      </w:r>
    </w:p>
    <w:p w:rsidR="00697C78" w:rsidRPr="00523E5C" w:rsidRDefault="00697C78" w:rsidP="00697C78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Le riduzioni di capitale sociale</w:t>
      </w:r>
    </w:p>
    <w:p w:rsidR="00697C78" w:rsidRPr="00523E5C" w:rsidRDefault="00697C78">
      <w:pPr>
        <w:rPr>
          <w:rFonts w:asciiTheme="minorHAnsi" w:hAnsiTheme="minorHAnsi" w:cstheme="minorHAnsi"/>
          <w:sz w:val="28"/>
          <w:szCs w:val="28"/>
        </w:rPr>
      </w:pPr>
    </w:p>
    <w:p w:rsidR="00552EB9" w:rsidRDefault="00552EB9">
      <w:pPr>
        <w:rPr>
          <w:rFonts w:asciiTheme="minorHAnsi" w:hAnsiTheme="minorHAnsi" w:cstheme="minorHAnsi"/>
          <w:b/>
          <w:sz w:val="28"/>
          <w:szCs w:val="28"/>
        </w:rPr>
      </w:pPr>
    </w:p>
    <w:p w:rsidR="00D90691" w:rsidRPr="00523E5C" w:rsidRDefault="008E59E6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UD </w:t>
      </w:r>
      <w:r w:rsidR="00697C78">
        <w:rPr>
          <w:rFonts w:asciiTheme="minorHAnsi" w:hAnsiTheme="minorHAnsi" w:cstheme="minorHAnsi"/>
          <w:b/>
          <w:sz w:val="28"/>
          <w:szCs w:val="28"/>
        </w:rPr>
        <w:t>2</w:t>
      </w:r>
      <w:r w:rsidR="00523E5C">
        <w:rPr>
          <w:rFonts w:asciiTheme="minorHAnsi" w:hAnsiTheme="minorHAnsi" w:cstheme="minorHAnsi"/>
          <w:b/>
          <w:sz w:val="28"/>
          <w:szCs w:val="28"/>
        </w:rPr>
        <w:tab/>
      </w:r>
      <w:r w:rsidR="00697C78">
        <w:rPr>
          <w:rFonts w:asciiTheme="minorHAnsi" w:hAnsiTheme="minorHAnsi" w:cstheme="minorHAnsi"/>
          <w:b/>
          <w:sz w:val="28"/>
          <w:szCs w:val="28"/>
        </w:rPr>
        <w:t>Le società di capitali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Le caratteristiche delle società capitali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Gli organi sociali</w:t>
      </w:r>
      <w:r w:rsidRPr="00523E5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La fase costitutiva</w:t>
      </w:r>
    </w:p>
    <w:p w:rsidR="00D90691" w:rsidRPr="00523E5C" w:rsidRDefault="00D90691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="00FA0AB6"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Destinazione dell’utile</w:t>
      </w:r>
    </w:p>
    <w:p w:rsidR="00FA0AB6" w:rsidRPr="00523E5C" w:rsidRDefault="00FA0AB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La copertura della perdita d’esercizio</w:t>
      </w:r>
    </w:p>
    <w:p w:rsidR="00FA0AB6" w:rsidRPr="00523E5C" w:rsidRDefault="00FA0AB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Gli aumenti di capitale sociale</w:t>
      </w:r>
    </w:p>
    <w:p w:rsidR="00FA0AB6" w:rsidRPr="00523E5C" w:rsidRDefault="00FA0AB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697C78">
        <w:rPr>
          <w:rFonts w:asciiTheme="minorHAnsi" w:hAnsiTheme="minorHAnsi" w:cstheme="minorHAnsi"/>
          <w:sz w:val="28"/>
          <w:szCs w:val="28"/>
        </w:rPr>
        <w:t>Le riduzioni di capitale sociale</w:t>
      </w:r>
    </w:p>
    <w:p w:rsidR="00FA0AB6" w:rsidRPr="00523E5C" w:rsidRDefault="00FA0AB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807112">
        <w:rPr>
          <w:rFonts w:asciiTheme="minorHAnsi" w:hAnsiTheme="minorHAnsi" w:cstheme="minorHAnsi"/>
          <w:sz w:val="28"/>
          <w:szCs w:val="28"/>
        </w:rPr>
        <w:t>La raccolta di capitale di debito</w:t>
      </w:r>
    </w:p>
    <w:p w:rsidR="00FA0AB6" w:rsidRDefault="00FA0AB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807112">
        <w:rPr>
          <w:rFonts w:asciiTheme="minorHAnsi" w:hAnsiTheme="minorHAnsi" w:cstheme="minorHAnsi"/>
          <w:sz w:val="28"/>
          <w:szCs w:val="28"/>
        </w:rPr>
        <w:t>Il rimborso del prestito obbligazionario</w:t>
      </w:r>
    </w:p>
    <w:p w:rsidR="00807112" w:rsidRDefault="00807112" w:rsidP="0080711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Le scritture di assestamento relative ai prestiti obbligazionari</w:t>
      </w:r>
    </w:p>
    <w:p w:rsidR="00FA0AB6" w:rsidRPr="00523E5C" w:rsidRDefault="0080711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Prestiti obbligazionari convertibili</w:t>
      </w:r>
    </w:p>
    <w:p w:rsidR="00552EB9" w:rsidRDefault="00552EB9">
      <w:pPr>
        <w:rPr>
          <w:rFonts w:asciiTheme="minorHAnsi" w:hAnsiTheme="minorHAnsi" w:cstheme="minorHAnsi"/>
          <w:b/>
          <w:sz w:val="28"/>
          <w:szCs w:val="28"/>
        </w:rPr>
      </w:pPr>
    </w:p>
    <w:p w:rsidR="00FA0AB6" w:rsidRPr="00523E5C" w:rsidRDefault="008E59E6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UD </w:t>
      </w:r>
      <w:r w:rsidR="00807112">
        <w:rPr>
          <w:rFonts w:asciiTheme="minorHAnsi" w:hAnsiTheme="minorHAnsi" w:cstheme="minorHAnsi"/>
          <w:b/>
          <w:sz w:val="28"/>
          <w:szCs w:val="28"/>
        </w:rPr>
        <w:t>3</w:t>
      </w:r>
      <w:r w:rsidR="00523E5C">
        <w:rPr>
          <w:rFonts w:asciiTheme="minorHAnsi" w:hAnsiTheme="minorHAnsi" w:cstheme="minorHAnsi"/>
          <w:b/>
          <w:sz w:val="28"/>
          <w:szCs w:val="28"/>
        </w:rPr>
        <w:tab/>
      </w:r>
      <w:r w:rsidR="00807112">
        <w:rPr>
          <w:rFonts w:asciiTheme="minorHAnsi" w:hAnsiTheme="minorHAnsi" w:cstheme="minorHAnsi"/>
          <w:b/>
          <w:sz w:val="28"/>
          <w:szCs w:val="28"/>
        </w:rPr>
        <w:t>Il bilancio d’esercizio civilistico</w:t>
      </w:r>
    </w:p>
    <w:p w:rsidR="00FA0AB6" w:rsidRPr="00523E5C" w:rsidRDefault="00FA0AB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 w:rsidR="00807112">
        <w:rPr>
          <w:rFonts w:asciiTheme="minorHAnsi" w:hAnsiTheme="minorHAnsi" w:cstheme="minorHAnsi"/>
          <w:sz w:val="28"/>
          <w:szCs w:val="28"/>
        </w:rPr>
        <w:t>Il bilancio d’esercizio</w:t>
      </w:r>
    </w:p>
    <w:p w:rsidR="00FA0AB6" w:rsidRPr="00523E5C" w:rsidRDefault="00FA0AB6" w:rsidP="008D43E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807112">
        <w:rPr>
          <w:rFonts w:asciiTheme="minorHAnsi" w:hAnsiTheme="minorHAnsi" w:cstheme="minorHAnsi"/>
          <w:sz w:val="28"/>
          <w:szCs w:val="28"/>
        </w:rPr>
        <w:t>Il bilancio in forma abbreviata</w:t>
      </w:r>
    </w:p>
    <w:p w:rsidR="00FA0AB6" w:rsidRDefault="00FA0AB6" w:rsidP="008D43E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807112">
        <w:rPr>
          <w:rFonts w:asciiTheme="minorHAnsi" w:hAnsiTheme="minorHAnsi" w:cstheme="minorHAnsi"/>
          <w:sz w:val="28"/>
          <w:szCs w:val="28"/>
        </w:rPr>
        <w:t>Il bilancio in forma ordinaria</w:t>
      </w:r>
    </w:p>
    <w:p w:rsidR="00807112" w:rsidRDefault="00807112" w:rsidP="0080711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Redazione e approvazione del bilancio</w:t>
      </w:r>
    </w:p>
    <w:p w:rsidR="00807112" w:rsidRPr="00523E5C" w:rsidRDefault="00807112" w:rsidP="0080711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Principi di redazione del bilancio</w:t>
      </w:r>
    </w:p>
    <w:p w:rsidR="00807112" w:rsidRPr="00523E5C" w:rsidRDefault="00807112" w:rsidP="00807112">
      <w:pPr>
        <w:rPr>
          <w:rFonts w:asciiTheme="minorHAnsi" w:hAnsiTheme="minorHAnsi" w:cstheme="minorHAnsi"/>
          <w:sz w:val="28"/>
          <w:szCs w:val="28"/>
        </w:rPr>
      </w:pPr>
    </w:p>
    <w:p w:rsidR="00552EB9" w:rsidRDefault="00552EB9">
      <w:pPr>
        <w:rPr>
          <w:rFonts w:asciiTheme="minorHAnsi" w:hAnsiTheme="minorHAnsi" w:cstheme="minorHAnsi"/>
          <w:b/>
          <w:sz w:val="32"/>
          <w:szCs w:val="32"/>
        </w:rPr>
      </w:pPr>
    </w:p>
    <w:p w:rsidR="00A7586A" w:rsidRDefault="00A7586A">
      <w:pPr>
        <w:rPr>
          <w:rFonts w:asciiTheme="minorHAnsi" w:hAnsiTheme="minorHAnsi" w:cstheme="minorHAnsi"/>
          <w:b/>
          <w:sz w:val="32"/>
          <w:szCs w:val="32"/>
        </w:rPr>
      </w:pPr>
    </w:p>
    <w:p w:rsidR="008D43E6" w:rsidRPr="00552EB9" w:rsidRDefault="008D43E6" w:rsidP="008D43E6">
      <w:pPr>
        <w:rPr>
          <w:rFonts w:asciiTheme="minorHAnsi" w:hAnsiTheme="minorHAnsi" w:cstheme="minorHAnsi"/>
          <w:b/>
          <w:sz w:val="32"/>
          <w:szCs w:val="32"/>
        </w:rPr>
      </w:pPr>
      <w:r w:rsidRPr="00552EB9">
        <w:rPr>
          <w:rFonts w:asciiTheme="minorHAnsi" w:hAnsiTheme="minorHAnsi" w:cstheme="minorHAnsi"/>
          <w:b/>
          <w:sz w:val="32"/>
          <w:szCs w:val="32"/>
        </w:rPr>
        <w:lastRenderedPageBreak/>
        <w:t>Modulo 3</w:t>
      </w:r>
      <w:r w:rsidR="00807112">
        <w:rPr>
          <w:rFonts w:asciiTheme="minorHAnsi" w:hAnsiTheme="minorHAnsi" w:cstheme="minorHAnsi"/>
          <w:b/>
          <w:sz w:val="32"/>
          <w:szCs w:val="32"/>
        </w:rPr>
        <w:t>:   La gestione del magazzino</w:t>
      </w:r>
    </w:p>
    <w:p w:rsidR="008D43E6" w:rsidRDefault="009558D0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UD 1</w:t>
      </w:r>
      <w:r w:rsidR="008D43E6">
        <w:rPr>
          <w:rFonts w:asciiTheme="minorHAnsi" w:hAnsiTheme="minorHAnsi" w:cstheme="minorHAnsi"/>
          <w:b/>
          <w:sz w:val="28"/>
          <w:szCs w:val="28"/>
        </w:rPr>
        <w:tab/>
      </w:r>
      <w:r w:rsidR="00807112">
        <w:rPr>
          <w:rFonts w:asciiTheme="minorHAnsi" w:hAnsiTheme="minorHAnsi" w:cstheme="minorHAnsi"/>
          <w:b/>
          <w:sz w:val="28"/>
          <w:szCs w:val="28"/>
        </w:rPr>
        <w:t>Il magazzino e la gestione delle scorte</w:t>
      </w:r>
    </w:p>
    <w:p w:rsidR="008D43E6" w:rsidRPr="008E59E6" w:rsidRDefault="008E59E6" w:rsidP="008E59E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</w:t>
      </w:r>
      <w:r w:rsidR="008D43E6" w:rsidRPr="008E59E6">
        <w:rPr>
          <w:rFonts w:asciiTheme="minorHAnsi" w:hAnsiTheme="minorHAnsi" w:cstheme="minorHAnsi"/>
          <w:sz w:val="28"/>
          <w:szCs w:val="28"/>
        </w:rPr>
        <w:t>L</w:t>
      </w:r>
      <w:r w:rsidR="00807112">
        <w:rPr>
          <w:rFonts w:asciiTheme="minorHAnsi" w:hAnsiTheme="minorHAnsi" w:cstheme="minorHAnsi"/>
          <w:sz w:val="28"/>
          <w:szCs w:val="28"/>
        </w:rPr>
        <w:t xml:space="preserve">a logistica aziendale </w:t>
      </w:r>
    </w:p>
    <w:p w:rsidR="008D43E6" w:rsidRPr="008E59E6" w:rsidRDefault="008E59E6" w:rsidP="008E59E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</w:t>
      </w:r>
      <w:r w:rsidR="00807112">
        <w:rPr>
          <w:rFonts w:asciiTheme="minorHAnsi" w:hAnsiTheme="minorHAnsi" w:cstheme="minorHAnsi"/>
          <w:sz w:val="28"/>
          <w:szCs w:val="28"/>
        </w:rPr>
        <w:t>Il magazzino</w:t>
      </w:r>
    </w:p>
    <w:p w:rsidR="008D43E6" w:rsidRPr="008E59E6" w:rsidRDefault="008E59E6" w:rsidP="008E59E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</w:t>
      </w:r>
      <w:r w:rsidR="00807112">
        <w:rPr>
          <w:rFonts w:asciiTheme="minorHAnsi" w:hAnsiTheme="minorHAnsi" w:cstheme="minorHAnsi"/>
          <w:sz w:val="28"/>
          <w:szCs w:val="28"/>
        </w:rPr>
        <w:t>Le scorte di magazzino</w:t>
      </w:r>
    </w:p>
    <w:p w:rsidR="008D43E6" w:rsidRDefault="008E59E6" w:rsidP="008E59E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</w:t>
      </w:r>
      <w:r w:rsidR="008D43E6" w:rsidRPr="008E59E6">
        <w:rPr>
          <w:rFonts w:asciiTheme="minorHAnsi" w:hAnsiTheme="minorHAnsi" w:cstheme="minorHAnsi"/>
          <w:sz w:val="28"/>
          <w:szCs w:val="28"/>
        </w:rPr>
        <w:t>L</w:t>
      </w:r>
      <w:r w:rsidR="00807112">
        <w:rPr>
          <w:rFonts w:asciiTheme="minorHAnsi" w:hAnsiTheme="minorHAnsi" w:cstheme="minorHAnsi"/>
          <w:sz w:val="28"/>
          <w:szCs w:val="28"/>
        </w:rPr>
        <w:t>a gestione delle scorte e i cicli aziendali</w:t>
      </w:r>
    </w:p>
    <w:p w:rsidR="00807112" w:rsidRDefault="00807112" w:rsidP="0080711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Il livello di riordino</w:t>
      </w:r>
    </w:p>
    <w:p w:rsidR="00807112" w:rsidRPr="008E59E6" w:rsidRDefault="00807112" w:rsidP="008E59E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L’indice di rotazione del magazzino</w:t>
      </w:r>
    </w:p>
    <w:p w:rsidR="008E59E6" w:rsidRDefault="008E59E6">
      <w:pPr>
        <w:rPr>
          <w:rFonts w:asciiTheme="minorHAnsi" w:hAnsiTheme="minorHAnsi" w:cstheme="minorHAnsi"/>
          <w:b/>
          <w:sz w:val="28"/>
          <w:szCs w:val="28"/>
        </w:rPr>
      </w:pPr>
    </w:p>
    <w:p w:rsidR="00807112" w:rsidRDefault="008D43E6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UD 2</w:t>
      </w:r>
      <w:r>
        <w:rPr>
          <w:rFonts w:asciiTheme="minorHAnsi" w:hAnsiTheme="minorHAnsi" w:cstheme="minorHAnsi"/>
          <w:b/>
          <w:sz w:val="28"/>
          <w:szCs w:val="28"/>
        </w:rPr>
        <w:tab/>
      </w:r>
      <w:r w:rsidR="00807112">
        <w:rPr>
          <w:rFonts w:asciiTheme="minorHAnsi" w:hAnsiTheme="minorHAnsi" w:cstheme="minorHAnsi"/>
          <w:b/>
          <w:sz w:val="28"/>
          <w:szCs w:val="28"/>
        </w:rPr>
        <w:t>La contabilità di magazzino e la valutazione delle scorte</w:t>
      </w:r>
    </w:p>
    <w:p w:rsidR="00FA0AB6" w:rsidRPr="00807112" w:rsidRDefault="00FA0AB6">
      <w:pPr>
        <w:rPr>
          <w:rFonts w:asciiTheme="minorHAnsi" w:hAnsiTheme="minorHAnsi" w:cstheme="minorHAnsi"/>
          <w:b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 w:rsidR="00807112">
        <w:rPr>
          <w:rFonts w:asciiTheme="minorHAnsi" w:hAnsiTheme="minorHAnsi" w:cstheme="minorHAnsi"/>
          <w:sz w:val="28"/>
          <w:szCs w:val="28"/>
        </w:rPr>
        <w:t>La contabilità di magazzino</w:t>
      </w:r>
    </w:p>
    <w:p w:rsidR="00FA0AB6" w:rsidRPr="00523E5C" w:rsidRDefault="00FA0AB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="009558D0">
        <w:rPr>
          <w:rFonts w:asciiTheme="minorHAnsi" w:hAnsiTheme="minorHAnsi" w:cstheme="minorHAnsi"/>
          <w:sz w:val="28"/>
          <w:szCs w:val="28"/>
        </w:rPr>
        <w:t xml:space="preserve"> </w:t>
      </w:r>
      <w:r w:rsidR="00807112">
        <w:rPr>
          <w:rFonts w:asciiTheme="minorHAnsi" w:hAnsiTheme="minorHAnsi" w:cstheme="minorHAnsi"/>
          <w:sz w:val="28"/>
          <w:szCs w:val="28"/>
        </w:rPr>
        <w:t>Gli strumenti della contabilità di magazzino</w:t>
      </w:r>
    </w:p>
    <w:p w:rsidR="00FA0AB6" w:rsidRPr="00523E5C" w:rsidRDefault="00FA0AB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807112">
        <w:rPr>
          <w:rFonts w:asciiTheme="minorHAnsi" w:hAnsiTheme="minorHAnsi" w:cstheme="minorHAnsi"/>
          <w:sz w:val="28"/>
          <w:szCs w:val="28"/>
        </w:rPr>
        <w:t>La valorizzazione dei movimenti di magazzino</w:t>
      </w:r>
    </w:p>
    <w:p w:rsidR="00FA0AB6" w:rsidRDefault="00FA0AB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 w:rsidR="00807112">
        <w:rPr>
          <w:rFonts w:asciiTheme="minorHAnsi" w:hAnsiTheme="minorHAnsi" w:cstheme="minorHAnsi"/>
          <w:sz w:val="28"/>
          <w:szCs w:val="28"/>
        </w:rPr>
        <w:t>La contabilità fiscale di magazzino</w:t>
      </w:r>
    </w:p>
    <w:p w:rsidR="008D43E6" w:rsidRPr="008E59E6" w:rsidRDefault="008E59E6" w:rsidP="008E59E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</w:t>
      </w:r>
      <w:r w:rsidR="0055069F">
        <w:rPr>
          <w:rFonts w:asciiTheme="minorHAnsi" w:hAnsiTheme="minorHAnsi" w:cstheme="minorHAnsi"/>
          <w:sz w:val="28"/>
          <w:szCs w:val="28"/>
        </w:rPr>
        <w:t>La rilevazione contabile delle scorte</w:t>
      </w:r>
    </w:p>
    <w:p w:rsidR="008D43E6" w:rsidRDefault="008E59E6" w:rsidP="008E59E6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</w:t>
      </w:r>
      <w:r w:rsidR="0055069F">
        <w:rPr>
          <w:rFonts w:asciiTheme="minorHAnsi" w:hAnsiTheme="minorHAnsi" w:cstheme="minorHAnsi"/>
          <w:sz w:val="28"/>
          <w:szCs w:val="28"/>
        </w:rPr>
        <w:t>I criteri civilistici di valutazione delle scorte</w:t>
      </w:r>
    </w:p>
    <w:p w:rsidR="0055069F" w:rsidRDefault="0055069F" w:rsidP="0055069F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Le scorte nel bilancio d’esercizio</w:t>
      </w:r>
    </w:p>
    <w:p w:rsidR="0055069F" w:rsidRDefault="0055069F" w:rsidP="0055069F">
      <w:pPr>
        <w:rPr>
          <w:rFonts w:asciiTheme="minorHAnsi" w:hAnsiTheme="minorHAnsi" w:cstheme="minorHAnsi"/>
          <w:sz w:val="28"/>
          <w:szCs w:val="28"/>
        </w:rPr>
      </w:pPr>
    </w:p>
    <w:p w:rsidR="00047342" w:rsidRDefault="00047342" w:rsidP="00047342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Modulo 4:   Il mercato degli strumenti finanziari</w:t>
      </w:r>
    </w:p>
    <w:p w:rsidR="00047342" w:rsidRDefault="00047342" w:rsidP="00047342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UD1 </w:t>
      </w:r>
      <w:r w:rsidR="003138A2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b/>
          <w:sz w:val="28"/>
          <w:szCs w:val="28"/>
        </w:rPr>
        <w:t>Gli strumenti finanziari</w:t>
      </w:r>
    </w:p>
    <w:p w:rsidR="00047342" w:rsidRDefault="00047342" w:rsidP="0004734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Il mercato dei capitali</w:t>
      </w:r>
    </w:p>
    <w:p w:rsidR="00047342" w:rsidRDefault="00047342" w:rsidP="0004734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I titoli e il loro mercato</w:t>
      </w:r>
    </w:p>
    <w:p w:rsidR="00047342" w:rsidRDefault="00047342" w:rsidP="0004734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I titoli di debiti</w:t>
      </w:r>
    </w:p>
    <w:p w:rsidR="00047342" w:rsidRDefault="00047342" w:rsidP="0004734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lastRenderedPageBreak/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I titoli di capitale</w:t>
      </w:r>
    </w:p>
    <w:p w:rsidR="00047342" w:rsidRDefault="00047342" w:rsidP="00047342">
      <w:pPr>
        <w:rPr>
          <w:rFonts w:asciiTheme="minorHAnsi" w:hAnsiTheme="minorHAnsi" w:cstheme="minorHAnsi"/>
          <w:sz w:val="28"/>
          <w:szCs w:val="28"/>
        </w:rPr>
      </w:pPr>
    </w:p>
    <w:p w:rsidR="00047342" w:rsidRDefault="00047342" w:rsidP="00047342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UD2</w:t>
      </w:r>
      <w:r w:rsidR="003B1CB0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b/>
          <w:sz w:val="28"/>
          <w:szCs w:val="28"/>
        </w:rPr>
        <w:t xml:space="preserve"> La negoziazione dei titoli </w:t>
      </w:r>
    </w:p>
    <w:p w:rsidR="00047342" w:rsidRDefault="00047342" w:rsidP="0004734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Le compravendite di titoli</w:t>
      </w:r>
    </w:p>
    <w:p w:rsidR="00047342" w:rsidRDefault="00047342" w:rsidP="0004734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I corsi e il prezzo di negoziazione dei titoli</w:t>
      </w:r>
    </w:p>
    <w:p w:rsidR="00047342" w:rsidRDefault="00047342" w:rsidP="0055069F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Lo scarto di emissione e il corso supersecco</w:t>
      </w:r>
    </w:p>
    <w:p w:rsidR="00047342" w:rsidRDefault="00047342" w:rsidP="0004734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Commissioni e documenti delle negoziazioni in titoli</w:t>
      </w:r>
    </w:p>
    <w:p w:rsidR="00047342" w:rsidRDefault="00047342" w:rsidP="0004734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Obbligazioni pubbliche e relative modalità di negoziazione</w:t>
      </w:r>
    </w:p>
    <w:p w:rsidR="00047342" w:rsidRDefault="00047342" w:rsidP="00047342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Obbligazioni private e relative modalità di negoziazione</w:t>
      </w:r>
    </w:p>
    <w:p w:rsidR="00047342" w:rsidRDefault="00047342" w:rsidP="00047342">
      <w:pPr>
        <w:rPr>
          <w:rFonts w:asciiTheme="minorHAnsi" w:hAnsiTheme="minorHAnsi" w:cstheme="minorHAnsi"/>
          <w:sz w:val="28"/>
          <w:szCs w:val="28"/>
        </w:rPr>
      </w:pPr>
    </w:p>
    <w:p w:rsidR="00047342" w:rsidRDefault="00047342" w:rsidP="00047342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Modulo 5:</w:t>
      </w:r>
      <w:r w:rsidRPr="00552EB9">
        <w:rPr>
          <w:rFonts w:asciiTheme="minorHAnsi" w:hAnsiTheme="minorHAnsi" w:cstheme="minorHAnsi"/>
          <w:b/>
          <w:sz w:val="32"/>
          <w:szCs w:val="32"/>
        </w:rPr>
        <w:tab/>
        <w:t xml:space="preserve"> </w:t>
      </w:r>
      <w:r>
        <w:rPr>
          <w:rFonts w:asciiTheme="minorHAnsi" w:hAnsiTheme="minorHAnsi" w:cstheme="minorHAnsi"/>
          <w:b/>
          <w:sz w:val="32"/>
          <w:szCs w:val="32"/>
        </w:rPr>
        <w:t>Le imprese bancarie: prodotti e servizi</w:t>
      </w:r>
      <w:r w:rsidR="00A75C12">
        <w:rPr>
          <w:rFonts w:asciiTheme="minorHAnsi" w:hAnsiTheme="minorHAnsi" w:cstheme="minorHAnsi"/>
          <w:b/>
          <w:sz w:val="32"/>
          <w:szCs w:val="32"/>
        </w:rPr>
        <w:t xml:space="preserve"> per i risparmiatori</w:t>
      </w:r>
    </w:p>
    <w:p w:rsidR="00A75C12" w:rsidRDefault="00A75C12" w:rsidP="00047342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UD1 </w:t>
      </w:r>
      <w:r w:rsidR="003B1CB0">
        <w:rPr>
          <w:rFonts w:asciiTheme="minorHAnsi" w:hAnsiTheme="minorHAnsi" w:cstheme="minorHAnsi"/>
          <w:b/>
          <w:sz w:val="32"/>
          <w:szCs w:val="32"/>
        </w:rPr>
        <w:t xml:space="preserve">  </w:t>
      </w:r>
      <w:r>
        <w:rPr>
          <w:rFonts w:asciiTheme="minorHAnsi" w:hAnsiTheme="minorHAnsi" w:cstheme="minorHAnsi"/>
          <w:b/>
          <w:sz w:val="32"/>
          <w:szCs w:val="32"/>
        </w:rPr>
        <w:t>Il sistema finanziario e le imprese bancarie</w:t>
      </w:r>
    </w:p>
    <w:p w:rsidR="003B1CB0" w:rsidRDefault="003B1CB0" w:rsidP="003B1CB0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Gli intermediari finanziari</w:t>
      </w:r>
    </w:p>
    <w:p w:rsidR="003B1CB0" w:rsidRDefault="003B1CB0" w:rsidP="003B1CB0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L’attività bancaria e le funzioni delle banche</w:t>
      </w:r>
    </w:p>
    <w:p w:rsidR="003B1CB0" w:rsidRDefault="003B1CB0" w:rsidP="003B1CB0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La gestione delle banche</w:t>
      </w:r>
    </w:p>
    <w:p w:rsidR="003B1CB0" w:rsidRDefault="003B1CB0" w:rsidP="003B1CB0">
      <w:pPr>
        <w:rPr>
          <w:rFonts w:asciiTheme="minorHAnsi" w:hAnsiTheme="minorHAnsi" w:cstheme="minorHAnsi"/>
          <w:sz w:val="28"/>
          <w:szCs w:val="28"/>
        </w:rPr>
      </w:pPr>
    </w:p>
    <w:p w:rsidR="003B1CB0" w:rsidRDefault="003B1CB0" w:rsidP="003B1CB0">
      <w:pPr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UD2   I caratteri generali delle operazioni bancarie</w:t>
      </w:r>
    </w:p>
    <w:p w:rsidR="003B1CB0" w:rsidRDefault="003B1CB0" w:rsidP="003B1CB0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Le operazioni bancarie</w:t>
      </w:r>
    </w:p>
    <w:p w:rsidR="003B1CB0" w:rsidRDefault="003B1CB0" w:rsidP="003B1CB0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 xml:space="preserve">Il </w:t>
      </w:r>
      <w:r w:rsidRPr="003B1CB0">
        <w:rPr>
          <w:rFonts w:asciiTheme="minorHAnsi" w:hAnsiTheme="minorHAnsi" w:cstheme="minorHAnsi"/>
          <w:i/>
          <w:sz w:val="28"/>
          <w:szCs w:val="28"/>
        </w:rPr>
        <w:t>pricing</w:t>
      </w:r>
      <w:r>
        <w:rPr>
          <w:rFonts w:asciiTheme="minorHAnsi" w:hAnsiTheme="minorHAnsi" w:cstheme="minorHAnsi"/>
          <w:sz w:val="28"/>
          <w:szCs w:val="28"/>
        </w:rPr>
        <w:t xml:space="preserve"> dei prodotti bancari</w:t>
      </w:r>
    </w:p>
    <w:p w:rsidR="003B1CB0" w:rsidRPr="003B1CB0" w:rsidRDefault="003B1CB0" w:rsidP="003B1CB0">
      <w:pPr>
        <w:rPr>
          <w:rFonts w:asciiTheme="minorHAnsi" w:hAnsiTheme="minorHAnsi" w:cstheme="minorHAnsi"/>
          <w:sz w:val="28"/>
          <w:szCs w:val="28"/>
        </w:rPr>
      </w:pPr>
      <w:r w:rsidRPr="00523E5C">
        <w:rPr>
          <w:rFonts w:asciiTheme="minorHAnsi" w:hAnsiTheme="minorHAnsi" w:cstheme="minorHAnsi"/>
          <w:b/>
          <w:sz w:val="28"/>
          <w:szCs w:val="28"/>
        </w:rPr>
        <w:sym w:font="Symbol" w:char="F0B7"/>
      </w:r>
      <w:r w:rsidRPr="00523E5C">
        <w:rPr>
          <w:rFonts w:asciiTheme="minorHAnsi" w:hAnsiTheme="minorHAnsi" w:cstheme="minorHAnsi"/>
          <w:b/>
          <w:sz w:val="28"/>
          <w:szCs w:val="28"/>
        </w:rPr>
        <w:t xml:space="preserve">   </w:t>
      </w:r>
      <w:r>
        <w:rPr>
          <w:rFonts w:asciiTheme="minorHAnsi" w:hAnsiTheme="minorHAnsi" w:cstheme="minorHAnsi"/>
          <w:sz w:val="28"/>
          <w:szCs w:val="28"/>
        </w:rPr>
        <w:t>Gli aspetti computistici delle operazioni bancarie</w:t>
      </w:r>
    </w:p>
    <w:p w:rsidR="003B1CB0" w:rsidRDefault="003B1CB0" w:rsidP="003B1CB0">
      <w:pPr>
        <w:autoSpaceDE w:val="0"/>
        <w:autoSpaceDN w:val="0"/>
        <w:adjustRightInd w:val="0"/>
      </w:pPr>
    </w:p>
    <w:p w:rsidR="003B1CB0" w:rsidRDefault="003B1CB0" w:rsidP="003B1CB0">
      <w:pPr>
        <w:autoSpaceDE w:val="0"/>
        <w:autoSpaceDN w:val="0"/>
        <w:adjustRightInd w:val="0"/>
      </w:pPr>
      <w:r>
        <w:t xml:space="preserve">Gli Alunni </w:t>
      </w:r>
      <w:r>
        <w:tab/>
        <w:t>___________________</w:t>
      </w:r>
      <w:r>
        <w:tab/>
      </w:r>
      <w:r>
        <w:tab/>
        <w:t>Il Docente ________________________</w:t>
      </w:r>
    </w:p>
    <w:p w:rsidR="008E59E6" w:rsidRPr="003B1CB0" w:rsidRDefault="003B1CB0" w:rsidP="003B1CB0">
      <w:pPr>
        <w:autoSpaceDE w:val="0"/>
        <w:autoSpaceDN w:val="0"/>
        <w:adjustRightInd w:val="0"/>
        <w:ind w:left="851"/>
      </w:pPr>
      <w:r>
        <w:tab/>
        <w:t>___________________</w:t>
      </w:r>
    </w:p>
    <w:sectPr w:rsidR="008E59E6" w:rsidRPr="003B1CB0" w:rsidSect="008E59E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374F"/>
    <w:multiLevelType w:val="hybridMultilevel"/>
    <w:tmpl w:val="0724571E"/>
    <w:lvl w:ilvl="0" w:tplc="41AA61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654A9"/>
    <w:multiLevelType w:val="hybridMultilevel"/>
    <w:tmpl w:val="1F7C33BC"/>
    <w:lvl w:ilvl="0" w:tplc="AB1AA5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C0351"/>
    <w:multiLevelType w:val="hybridMultilevel"/>
    <w:tmpl w:val="EFAC43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7F6DDD"/>
    <w:multiLevelType w:val="hybridMultilevel"/>
    <w:tmpl w:val="054CB7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DC6ABD"/>
    <w:multiLevelType w:val="hybridMultilevel"/>
    <w:tmpl w:val="D5CEDA54"/>
    <w:lvl w:ilvl="0" w:tplc="AB1AA55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86B2ED9E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HAns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3DE2D85"/>
    <w:multiLevelType w:val="hybridMultilevel"/>
    <w:tmpl w:val="2B6AD3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3C317D"/>
    <w:multiLevelType w:val="hybridMultilevel"/>
    <w:tmpl w:val="97C4A0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A358C9"/>
    <w:multiLevelType w:val="hybridMultilevel"/>
    <w:tmpl w:val="C6EAB110"/>
    <w:lvl w:ilvl="0" w:tplc="AB1AA5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0D4855"/>
    <w:multiLevelType w:val="hybridMultilevel"/>
    <w:tmpl w:val="4086B6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0F58A3"/>
    <w:multiLevelType w:val="hybridMultilevel"/>
    <w:tmpl w:val="484275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E0485"/>
    <w:rsid w:val="00022874"/>
    <w:rsid w:val="00047342"/>
    <w:rsid w:val="000A00FC"/>
    <w:rsid w:val="0026263D"/>
    <w:rsid w:val="002A53A0"/>
    <w:rsid w:val="003138A2"/>
    <w:rsid w:val="003B1CB0"/>
    <w:rsid w:val="004A3A26"/>
    <w:rsid w:val="00523E5C"/>
    <w:rsid w:val="0055069F"/>
    <w:rsid w:val="00552EB9"/>
    <w:rsid w:val="00697C78"/>
    <w:rsid w:val="006B77B8"/>
    <w:rsid w:val="007E0485"/>
    <w:rsid w:val="00806739"/>
    <w:rsid w:val="00807112"/>
    <w:rsid w:val="008D43E6"/>
    <w:rsid w:val="008D4921"/>
    <w:rsid w:val="008E59E6"/>
    <w:rsid w:val="00941923"/>
    <w:rsid w:val="009558D0"/>
    <w:rsid w:val="00A7586A"/>
    <w:rsid w:val="00A75C12"/>
    <w:rsid w:val="00AD1D39"/>
    <w:rsid w:val="00B90ADB"/>
    <w:rsid w:val="00CB72CC"/>
    <w:rsid w:val="00CE3FBB"/>
    <w:rsid w:val="00D540EA"/>
    <w:rsid w:val="00D90691"/>
    <w:rsid w:val="00E0517A"/>
    <w:rsid w:val="00FA0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ndara" w:eastAsiaTheme="minorHAnsi" w:hAnsi="Candara" w:cstheme="minorBidi"/>
        <w:sz w:val="24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3F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D43E6"/>
    <w:pPr>
      <w:ind w:left="720"/>
      <w:contextualSpacing/>
    </w:pPr>
  </w:style>
  <w:style w:type="paragraph" w:customStyle="1" w:styleId="OmniPage1">
    <w:name w:val="OmniPage #1"/>
    <w:basedOn w:val="Normale"/>
    <w:rsid w:val="008E59E6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B1CB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B1CB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B1CB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1CB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1CB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1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1C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Allievo</dc:creator>
  <cp:lastModifiedBy>Allievo</cp:lastModifiedBy>
  <cp:revision>6</cp:revision>
  <cp:lastPrinted>2014-05-30T10:53:00Z</cp:lastPrinted>
  <dcterms:created xsi:type="dcterms:W3CDTF">2014-05-28T11:50:00Z</dcterms:created>
  <dcterms:modified xsi:type="dcterms:W3CDTF">2014-05-30T10:53:00Z</dcterms:modified>
</cp:coreProperties>
</file>